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triumfuje na COMPUTEX 2026: cztery nagrody Best Choice, w tym złoto dla RTX 5090 LIGHTNING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będące globalnym liderem w segmencie gamingu i obliczeń wysokiej wydajności, wróci z tegorocznych targów COMPUTEX 2026 z czterema nagrodami Best Choice Awards - w tym prestiżowym Złotym Wyróżnieniem dla karty graficznej GeForce RTX™ 5090 32G LIGHTNING 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będące globalnym liderem w segmencie gamingu i obliczeń wysokiej wydajności, wróci z tegorocznych targów COMPUTEX 2026 z czterema nagrodami Best Choice Awards - w tym prestiżowym Złotym Wyróżnieniem dla karty graficznej GeForce RTX™ 5090 32G LIGHTNING 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27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obejmują flagowe komponenty, inteligentne peryferia oraz ekskluzywny laptop z okazji 40-lecia marki, potwierdzając technologiczne zaawansowanie MSI w erze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“AI fundamentalnie przekształca cyfrowy krajobraz. Naszą misją jest przekładanie mocy obliczeniowej na intuicyjne i wydajne doświadczenia użytkowników, poprzez doskonałe projekty naszych produktów. Te nagrody są dowodem dążenia do stabilności i wydajności na szczytowym poziomie</w:t>
      </w:r>
      <w:r>
        <w:rPr>
          <w:rFonts w:ascii="calibri" w:hAnsi="calibri" w:eastAsia="calibri" w:cs="calibri"/>
          <w:sz w:val="24"/>
          <w:szCs w:val="24"/>
        </w:rPr>
        <w:t xml:space="preserve">” - mówi Sam Chern, wiceprezes ds. marketingu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Złota Nagroda Best Choice: GeForce RTX™ 5090 32G LIGHTNING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275px; height:1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latach oczekiwania seria LIGHTNING wraca w szczytowej formie. Karta graficzna RTX 5090 32G LIGHTNING Z zapewnia ekstremalną wydajność w renderingu 8K, złożonym modelowaniu 3D i obliczeniach AI. Zaprojektowano ją z myślą o overclockerach, twórcach i graczach, którzy potrzebują najlepszych rozwiązań.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40-fazowa architektura zasilania </w:t>
      </w:r>
      <w:r>
        <w:rPr>
          <w:rFonts w:ascii="calibri" w:hAnsi="calibri" w:eastAsia="calibri" w:cs="calibri"/>
          <w:sz w:val="24"/>
          <w:szCs w:val="24"/>
        </w:rPr>
        <w:t xml:space="preserve">i podwójne złącza 16-pin - gwarancja stabilności przy ekstremalnych obciążeniach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chłodzenie cieczą </w:t>
      </w:r>
      <w:r>
        <w:rPr>
          <w:rFonts w:ascii="calibri" w:hAnsi="calibri" w:eastAsia="calibri" w:cs="calibri"/>
          <w:sz w:val="24"/>
          <w:szCs w:val="24"/>
        </w:rPr>
        <w:t xml:space="preserve">- pełna miedziana płyta cold plate, pompa wysokiego ciśnienia nowej generacji i autorski wentylator Lightning Fan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8-calowy wyświetlacz </w:t>
      </w:r>
      <w:r>
        <w:rPr>
          <w:rFonts w:ascii="calibri" w:hAnsi="calibri" w:eastAsia="calibri" w:cs="calibri"/>
          <w:sz w:val="24"/>
          <w:szCs w:val="24"/>
        </w:rPr>
        <w:t xml:space="preserve">do monitorowania telemetrii w czasie rzeczywistym i personalizacji 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Laptop roku: Titan 18 HX Dragon Edition Draco Epic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Limitowany, jubileuszowy laptop MSI zdobył nagrodę Best Choice w kategorii Gaming &amp; Immersive Tech. Titan 18 HX Dragon Edition Draco Epic to ukoronowanie 40 lat inżynieryjnego rzemiosła marki - projekt łączący najwyższe osiągi z kolekcjonerskim charakterem.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AI: MPG Ai TS Series PSU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30px; height:4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 MPG Ai TS to bezpośrednia odpowiedź na rosnące wymagania stacji roboczych AI i systemów przetwarzania big data. Ochrona sprzętu i danych to tutaj priorytet.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GPU Safeguard+ </w:t>
      </w:r>
      <w:r>
        <w:rPr>
          <w:rFonts w:ascii="calibri" w:hAnsi="calibri" w:eastAsia="calibri" w:cs="calibri"/>
          <w:sz w:val="24"/>
          <w:szCs w:val="24"/>
        </w:rPr>
        <w:t xml:space="preserve">- autorska technologia MSI z monitorowaniem prądu per-pin dla złącz 12V-2x6, eliminująca ryzyko utraty danych i uszkodzeń GPU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Tranzystory SiC klasy przemysłowej </w:t>
      </w:r>
      <w:r>
        <w:rPr>
          <w:rFonts w:ascii="calibri" w:hAnsi="calibri" w:eastAsia="calibri" w:cs="calibri"/>
          <w:sz w:val="24"/>
          <w:szCs w:val="24"/>
        </w:rPr>
        <w:t xml:space="preserve">- wysoka sprawność i wyjątkowo cicha praca pod pełnym obciążeniem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Dwa natywne złącza 12V-2x6 </w:t>
      </w:r>
      <w:r>
        <w:rPr>
          <w:rFonts w:ascii="calibri" w:hAnsi="calibri" w:eastAsia="calibri" w:cs="calibri"/>
          <w:sz w:val="24"/>
          <w:szCs w:val="24"/>
        </w:rPr>
        <w:t xml:space="preserve">- gotowość na przyszłe generacje kart graficznych i pełna stabilność zasilania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 centrum kontroli: STRIKE ALLOY TMR + STRIKE NEXUS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630px; height:40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Klawiatura STRIKE ALLOY TMR i hub STRIKE NEXUS tworzą zintegrowane środowisko dla graczy, streamerów i twórców - łącząc precyzję, zarządzania systemem i jego monitoring.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STRIKE ALLOY TMR: </w:t>
      </w:r>
      <w:r>
        <w:rPr>
          <w:rFonts w:ascii="calibri" w:hAnsi="calibri" w:eastAsia="calibri" w:cs="calibri"/>
          <w:sz w:val="24"/>
          <w:szCs w:val="24"/>
        </w:rPr>
        <w:t xml:space="preserve">technologia TMR nowej generacji, polling rate do 8000 Hz, dualna budowa hot-swap z obsługą przełączników magnetycznych i mechanicznych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STRIKE NEXUS: </w:t>
      </w:r>
      <w:r>
        <w:rPr>
          <w:rFonts w:ascii="calibri" w:hAnsi="calibri" w:eastAsia="calibri" w:cs="calibri"/>
          <w:sz w:val="24"/>
          <w:szCs w:val="24"/>
        </w:rPr>
        <w:t xml:space="preserve">modularny hub z ekranem dotykowym 4,3" i slotem M.2 SSD - jedno złącze USB-C obsługuje monitoring, skróty i szyfrowaną ochronę danych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na COMPUTEX 2026 - szczegóły ekspozycji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Termin: </w:t>
      </w:r>
      <w:r>
        <w:rPr>
          <w:rFonts w:ascii="calibri" w:hAnsi="calibri" w:eastAsia="calibri" w:cs="calibri"/>
          <w:sz w:val="24"/>
          <w:szCs w:val="24"/>
        </w:rPr>
        <w:t xml:space="preserve">2-5 czerwca 2026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Lokalizacja: </w:t>
      </w:r>
      <w:r>
        <w:rPr>
          <w:rFonts w:ascii="calibri" w:hAnsi="calibri" w:eastAsia="calibri" w:cs="calibri"/>
          <w:sz w:val="24"/>
          <w:szCs w:val="24"/>
        </w:rPr>
        <w:t xml:space="preserve">Taipei Nangang Exhibition Center, Hala 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Stoisko: </w:t>
      </w:r>
      <w:r>
        <w:rPr>
          <w:rFonts w:ascii="calibri" w:hAnsi="calibri" w:eastAsia="calibri" w:cs="calibri"/>
          <w:sz w:val="24"/>
          <w:szCs w:val="24"/>
        </w:rPr>
        <w:t xml:space="preserve">J0605a (1F) / L0118 (4F)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www.msi.com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m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2026-07-11T03:41:51+02:00</dcterms:created>
  <dcterms:modified xsi:type="dcterms:W3CDTF">2026-07-11T03:41:51+02:00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