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before="0" w:after="600" w:line="240" w:lineRule="auto"/>
      </w:pPr>
      <w:r>
        <w:rPr>
          <w:rFonts w:ascii="calibri" w:hAnsi="calibri" w:eastAsia="calibri" w:cs="calibri"/>
          <w:sz w:val="52"/>
          <w:szCs w:val="52"/>
          <w:b/>
        </w:rPr>
        <w:t xml:space="preserve">MSI prezentuje GeForce RTX™ 5090 32G LIGHTNING - Powrót legendy na CES 2026</w: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Po siedmiu latach ciszy legenda powraca w wielkim stylu. GeForce RTX 5090 32G LIGHTNING to najpotężniejsza i najbardziej zaawansowana technicznie karta graficzna w historii MSI - prawdziwy pokaz kunsztu inżynierów firmy.</w:t>
      </w:r>
    </w:p>
    <w:p/>
    <w:p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506px; margin-left:0px; margin-top:0px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Stworzona z myślą o ekstremalnym overclockingu i wyniesiona na nowy poziom dzięki innowacyjnemu chłodzeniu cieczą, karta łączy pełnopowierzchniowy cold plate, pompę wysokiego ciśnienia nowej generacji, architekturę termiczną Lightning Fan, elementy z włókna węglowego oraz precyzyjne wykończenia „lightning-cut”. Całość uzupełnia oprogramowanie nowej generacji, tworząc perfekcyjną i wydajną całość.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 GeForce RTX 50 Series, napędzane architekturą NVIDIA Blackwell, wprowadzi do naszych domów nową epokę grafiki i sztucznej inteligencji.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jc w:val="center"/>
      </w:pPr>
      <w:r>
        <w:pict>
          <v:shape type="#_x0000_t75" style="width:900px; height:554px; margin-left:0px; margin-top:0px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Ogromna moc obliczeniowa AI umożliwia generowanie obrazów i wideo w niespotykanym tempie;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NVIDIA DLSS 4 zwielokrotnia wydajność i zapewnia nowy poziom realizmu w grach;</w:t>
      </w:r>
    </w:p>
    <w:p>
      <w:pPr>
        <w:spacing w:before="0" w:after="15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NVIDIA Studio wspiera kreatywność, oferując twórcom narzędzia do pracy z RTX AI PC w najpopularniejszych aplikacjach.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RTX 5090 LIGHTNING to platforma stworzona dla graczy, twórców i pionierów AI.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LIGHTNING debiutuje z najbardziej efektownym wyglądem w historii serii: 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  <w:b/>
        </w:rPr>
        <w:t xml:space="preserve">8‑calowy panel wyświetlacza</w:t>
      </w:r>
      <w:r>
        <w:rPr>
          <w:rFonts w:ascii="calibri" w:hAnsi="calibri" w:eastAsia="calibri" w:cs="calibri"/>
          <w:sz w:val="24"/>
          <w:szCs w:val="24"/>
        </w:rPr>
        <w:t xml:space="preserve"> - pierwszy na świecie w karcie graficznej, umożliwia pełną personalizację statystyk systemowych, grafik i animacji;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  <w:b/>
        </w:rPr>
        <w:t xml:space="preserve">Elementy z włókna węglowego</w:t>
      </w:r>
      <w:r>
        <w:rPr>
          <w:rFonts w:ascii="calibri" w:hAnsi="calibri" w:eastAsia="calibri" w:cs="calibri"/>
          <w:sz w:val="24"/>
          <w:szCs w:val="24"/>
        </w:rPr>
        <w:t xml:space="preserve"> i precyzyjne akcenty „lightning-cut” podkreślają ekskluzywny charakter karty;</w:t>
      </w:r>
    </w:p>
    <w:p>
      <w:pPr>
        <w:spacing w:before="0" w:after="15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  <w:b/>
        </w:rPr>
        <w:t xml:space="preserve">Indywidualnie numerowana plakietka</w:t>
      </w:r>
      <w:r>
        <w:rPr>
          <w:rFonts w:ascii="calibri" w:hAnsi="calibri" w:eastAsia="calibri" w:cs="calibri"/>
          <w:sz w:val="24"/>
          <w:szCs w:val="24"/>
        </w:rPr>
        <w:t xml:space="preserve"> nadaje każdej karcie unikalny, kolekcjonerski status.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jc w:val="center"/>
      </w:pPr>
      <w:r>
        <w:pict>
          <v:shape type="#_x0000_t75" style="width:900px; height:545px; margin-left:0px; margin-top:0px; mso-position-horizontal:left; mso-position-vertical:top; mso-position-horizontal-relative:char; mso-position-vertical-relative:line;">
            <w10:wrap type="inline"/>
            <v:imagedata r:id="rId9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Za tym wyjątkowym designem kryje się unikalny system chłodzenia: 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Cold plate obejmujący GPU, VRAM i MOSFETy dla równomiernego rozpraszania ciepła;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Hybrydowy radiator z sekcjami gęstymi i rzadkimi, tworzący strefy wymiany ciepła;</w:t>
      </w:r>
    </w:p>
    <w:p>
      <w:pPr>
        <w:spacing w:before="0" w:after="15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Unikalne wiatraki o aerodynamicznej geometrii zapewniający maksymalny przepływ powietrza i cichą pracę.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Sercem LIGHTNING jest specjalnie zaprojektowana płytka PCB z warstwą miedzi 3oz i komponentami klasy premium, gwarantującymi stabilność napięć i przewodnictwo nawet przy ekstremalnych obciążeniach. 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  <w:b/>
        </w:rPr>
        <w:t xml:space="preserve">Dual BIOS</w:t>
      </w:r>
      <w:r>
        <w:rPr>
          <w:rFonts w:ascii="calibri" w:hAnsi="calibri" w:eastAsia="calibri" w:cs="calibri"/>
          <w:sz w:val="24"/>
          <w:szCs w:val="24"/>
        </w:rPr>
        <w:t xml:space="preserve"> umożliwia natychmiastowy dostęp do profilu wydajności dla overclockerów;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  <w:b/>
        </w:rPr>
        <w:t xml:space="preserve">Lightning Hub</w:t>
      </w:r>
      <w:r>
        <w:rPr>
          <w:rFonts w:ascii="calibri" w:hAnsi="calibri" w:eastAsia="calibri" w:cs="calibri"/>
          <w:sz w:val="24"/>
          <w:szCs w:val="24"/>
        </w:rPr>
        <w:t xml:space="preserve"> zapewnia intuicyjne sterowanie parametrami i efektami wizualnymi;</w:t>
      </w:r>
    </w:p>
    <w:p>
      <w:pPr>
        <w:spacing w:before="0" w:after="15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  <w:b/>
        </w:rPr>
        <w:t xml:space="preserve">Lightning Overdrive</w:t>
      </w:r>
      <w:r>
        <w:rPr>
          <w:rFonts w:ascii="calibri" w:hAnsi="calibri" w:eastAsia="calibri" w:cs="calibri"/>
          <w:sz w:val="24"/>
          <w:szCs w:val="24"/>
        </w:rPr>
        <w:t xml:space="preserve"> - aplikacja mobilna do monitorowania i podkręcania w czasie rzeczywistym, dająca użytkownikom pełną swobodę i precyzję.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 </w:t>
      </w:r>
    </w:p>
    <w:p>
      <w:pPr>
        <w:jc w:val="center"/>
      </w:pPr>
      <w:r>
        <w:pict>
          <v:shape type="#_x0000_t75" style="width:800px; height:516px; margin-left:0px; margin-top:0px; mso-position-horizontal:left; mso-position-vertical:top; mso-position-horizontal-relative:char; mso-position-vertical-relative:line;">
            <w10:wrap type="inline"/>
            <v:imagedata r:id="rId10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LIGHTNING ustanawia 5 nowych rekordów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 Dzięki bezkompromisowemu systemowi zasilania i komponentom LIGHTNING, karta osiągnęła wybitne wyniki w testach wydajności - 53 207 punktów w 3DMark Time Spy, 90 797 punktów w 3DMark Fire Strike, 68 039 punktów w 3DMark Fire Strike Extreme oraz 41 566 punktów w 3DMark Fire Strike Ultra, a także rekordowy czas 37 sekund 851 milisekund w GPUPI 3.3 (32B).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jc w:val="center"/>
      </w:pPr>
      <w:r>
        <w:pict>
          <v:shape type="#_x0000_t75" style="width:900px; height:492px; margin-left:0px; margin-top:0px; mso-position-horizontal:left; mso-position-vertical:top; mso-position-horizontal-relative:char; mso-position-vertical-relative:line;">
            <w10:wrap type="inline"/>
            <v:imagedata r:id="rId11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i/>
          <w:iCs/>
        </w:rPr>
        <w:t xml:space="preserve">3DMark Time Spy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i/>
          <w:iCs/>
        </w:rPr>
        <w:t xml:space="preserve"> </w:t>
      </w:r>
    </w:p>
    <w:p>
      <w:pPr>
        <w:jc w:val="center"/>
      </w:pPr>
      <w:r>
        <w:pict>
          <v:shape type="#_x0000_t75" style="width:900px; height:492px; margin-left:0px; margin-top:0px; mso-position-horizontal:left; mso-position-vertical:top; mso-position-horizontal-relative:char; mso-position-vertical-relative:line;">
            <w10:wrap type="inline"/>
            <v:imagedata r:id="rId12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i/>
          <w:iCs/>
        </w:rPr>
        <w:t xml:space="preserve">3DMark Fire Strike Ultra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i/>
          <w:iCs/>
        </w:rPr>
        <w:t xml:space="preserve"> </w:t>
      </w:r>
    </w:p>
    <w:p>
      <w:pPr>
        <w:jc w:val="center"/>
      </w:pPr>
      <w:r>
        <w:pict>
          <v:shape type="#_x0000_t75" style="width:900px; height:492px; margin-left:0px; margin-top:0px; mso-position-horizontal:left; mso-position-vertical:top; mso-position-horizontal-relative:char; mso-position-vertical-relative:line;">
            <w10:wrap type="inline"/>
            <v:imagedata r:id="rId13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i/>
          <w:iCs/>
        </w:rPr>
        <w:t xml:space="preserve">3DMark Fire Strike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i/>
          <w:iCs/>
        </w:rPr>
        <w:t xml:space="preserve"> </w:t>
      </w:r>
    </w:p>
    <w:p>
      <w:pPr>
        <w:jc w:val="center"/>
      </w:pPr>
      <w:r>
        <w:pict>
          <v:shape type="#_x0000_t75" style="width:900px; height:492px; margin-left:0px; margin-top:0px; mso-position-horizontal:left; mso-position-vertical:top; mso-position-horizontal-relative:char; mso-position-vertical-relative:line;">
            <w10:wrap type="inline"/>
            <v:imagedata r:id="rId14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i/>
          <w:iCs/>
        </w:rPr>
        <w:t xml:space="preserve">3DMark Fire Strike Extreme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i/>
          <w:iCs/>
        </w:rPr>
        <w:t xml:space="preserve"> </w:t>
      </w:r>
    </w:p>
    <w:p>
      <w:pPr>
        <w:jc w:val="center"/>
      </w:pPr>
      <w:r>
        <w:pict>
          <v:shape type="#_x0000_t75" style="width:900px; height:492px; margin-left:0px; margin-top:0px; mso-position-horizontal:left; mso-position-vertical:top; mso-position-horizontal-relative:char; mso-position-vertical-relative:line;">
            <w10:wrap type="inline"/>
            <v:imagedata r:id="rId15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i/>
          <w:iCs/>
        </w:rPr>
        <w:t xml:space="preserve">GPUPI 3.3 (32B)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 MSI GeForce RTX 5090 LIGHTNING powstanie w ściśle limitowanej serii 1300 egzemplarzy, każdy z unikalnym numerem seryjnym. Jest to dzieło sztuki inżynieryjnej, stworzone dla entuzjastów, twórców i overclockerów, którzy pragną przesuwać granice własnych możliwości.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 Premiera odbędzie się na </w:t>
      </w:r>
      <w:r>
        <w:rPr>
          <w:rFonts w:ascii="calibri" w:hAnsi="calibri" w:eastAsia="calibri" w:cs="calibri"/>
          <w:sz w:val="24"/>
          <w:szCs w:val="24"/>
          <w:b/>
        </w:rPr>
        <w:t xml:space="preserve">CES 2026</w:t>
      </w:r>
      <w:r>
        <w:rPr>
          <w:rFonts w:ascii="calibri" w:hAnsi="calibri" w:eastAsia="calibri" w:cs="calibri"/>
          <w:sz w:val="24"/>
          <w:szCs w:val="24"/>
        </w:rPr>
        <w:t xml:space="preserve">, gdzie MSI zaprezentuje przełomowe osiągnięcia w wydajności, designie i ekosystemie oprogramowania.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b/>
        </w:rPr>
        <w:t xml:space="preserve">MSI zaprasza społeczność graczy, twórców i overclockerów do doświadczenia nowego rozdziału w historii GPU.</w:t>
      </w:r>
    </w:p>
    <w:sectPr>
      <w:pgSz w:orient="portrait" w:w="11870" w:h="16787"/>
      <w:pgMar w:top="650" w:right="650" w:bottom="850" w:left="650" w:header="720" w:footer="720" w:gutter="0"/>
      <w:cols w:num="1"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zoom w:percent="100"/>
  <w:defaultTabStop w:val="708"/>
  <w:hyphenationZone w:val="425"/>
  <w:characterSpacingControl w:val="doNotCompress"/>
  <w:themeFontLang w:val="en-U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jpg"/><Relationship Id="rId9" Type="http://schemas.openxmlformats.org/officeDocument/2006/relationships/image" Target="media/section_image3.jpg"/><Relationship Id="rId10" Type="http://schemas.openxmlformats.org/officeDocument/2006/relationships/image" Target="media/section_image4.png"/><Relationship Id="rId11" Type="http://schemas.openxmlformats.org/officeDocument/2006/relationships/image" Target="media/section_image5.png"/><Relationship Id="rId12" Type="http://schemas.openxmlformats.org/officeDocument/2006/relationships/image" Target="media/section_image6.png"/><Relationship Id="rId13" Type="http://schemas.openxmlformats.org/officeDocument/2006/relationships/image" Target="media/section_image7.png"/><Relationship Id="rId14" Type="http://schemas.openxmlformats.org/officeDocument/2006/relationships/image" Target="media/section_image8.png"/><Relationship Id="rId15" Type="http://schemas.openxmlformats.org/officeDocument/2006/relationships/image" Target="media/section_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2026-01-12T08:07:19+01:00</dcterms:created>
  <dcterms:modified xsi:type="dcterms:W3CDTF">2026-01-12T08:07:19+01:00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