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wkracza do Azeroth - karty graficzne RTX 5070 w legendarnych edycjach World of Warcraft: Midnight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wyjątkowej współpracy MSI z Blizzard Entertainment do sprzedaży trafiają dwie limitowane edycje karty graficznej GeForce RTX™ 5070 12G inspirowane rozszerzeniem do World of Warcraft o tytule Midnight.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Edycje VOID EDITION OC i LIGHT EDITION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najwyższej klasy wydajności GPU z unikalnym wzornictwem wprost z Azeroth. Karty dostępne są w dwóch odrębnych stylizacjach odzwierciedlających konflikty rządzące światem kultowego MMO.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Dwie edycje, jedna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Projekt VOID EDITION inspirowany jest mroczną stroną Azeroth. Wyraźne, ostre linie i warstwowe podświetlenie prześwitujące przez matowe powierzchnie zadowolą każdego fana.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LIGHT EDITION czerpie za to z jasnego dziedzictwa tej fantastycznej krainy. Ozdobne wzory i oświetlenie idealnie dopasowuje się do powierzchni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edycje bazują na architekturze NVIDIA GeForce RTX™ 5070 z 6144 rdzeniami CUDA i 12 GB pamięci GDDR7 o szybkości 28 Gbps. Dzięki magistrali 192-bit i interfejsowi PCI Express Gen 5 x16 karty zapewniają płynne doświadczenia w grach AAA, w tym w World of Warcraft: Midnight. Wersja OC działa z zegarem Extreme Performance na poziomie 2625 MHz oraz boostem 2610 MHz. Przy poborze mocy 250 W i rekomendowanym zasilaczu 650 W karty oferują świetną relację wydajności do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GPU: </w:t>
      </w:r>
      <w:r>
        <w:rPr>
          <w:rFonts w:ascii="calibri" w:hAnsi="calibri" w:eastAsia="calibri" w:cs="calibri"/>
          <w:sz w:val="24"/>
          <w:szCs w:val="24"/>
        </w:rPr>
        <w:t xml:space="preserve">NVIDIA GeForce RTX™ 5070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 </w:t>
      </w:r>
      <w:r>
        <w:rPr>
          <w:rFonts w:ascii="calibri" w:hAnsi="calibri" w:eastAsia="calibri" w:cs="calibri"/>
          <w:sz w:val="24"/>
          <w:szCs w:val="24"/>
        </w:rPr>
        <w:t xml:space="preserve">12 GB GDDR7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pamięci: </w:t>
      </w:r>
      <w:r>
        <w:rPr>
          <w:rFonts w:ascii="calibri" w:hAnsi="calibri" w:eastAsia="calibri" w:cs="calibri"/>
          <w:sz w:val="24"/>
          <w:szCs w:val="24"/>
        </w:rPr>
        <w:t xml:space="preserve">28 Gbps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Magistrala pamięci: </w:t>
      </w:r>
      <w:r>
        <w:rPr>
          <w:rFonts w:ascii="calibri" w:hAnsi="calibri" w:eastAsia="calibri" w:cs="calibri"/>
          <w:sz w:val="24"/>
          <w:szCs w:val="24"/>
        </w:rPr>
        <w:t xml:space="preserve">192-bit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Rdzenie CUDA: </w:t>
      </w:r>
      <w:r>
        <w:rPr>
          <w:rFonts w:ascii="calibri" w:hAnsi="calibri" w:eastAsia="calibri" w:cs="calibri"/>
          <w:sz w:val="24"/>
          <w:szCs w:val="24"/>
        </w:rPr>
        <w:t xml:space="preserve">6144 jednostki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Extreme Performance (OC): </w:t>
      </w:r>
      <w:r>
        <w:rPr>
          <w:rFonts w:ascii="calibri" w:hAnsi="calibri" w:eastAsia="calibri" w:cs="calibri"/>
          <w:sz w:val="24"/>
          <w:szCs w:val="24"/>
        </w:rPr>
        <w:t xml:space="preserve">2625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Boost (OC): </w:t>
      </w:r>
      <w:r>
        <w:rPr>
          <w:rFonts w:ascii="calibri" w:hAnsi="calibri" w:eastAsia="calibri" w:cs="calibri"/>
          <w:sz w:val="24"/>
          <w:szCs w:val="24"/>
        </w:rPr>
        <w:t xml:space="preserve">2610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 Express Gen 5 x16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Wyjścia wideo: </w:t>
      </w:r>
      <w:r>
        <w:rPr>
          <w:rFonts w:ascii="calibri" w:hAnsi="calibri" w:eastAsia="calibri" w:cs="calibri"/>
          <w:sz w:val="24"/>
          <w:szCs w:val="24"/>
        </w:rPr>
        <w:t xml:space="preserve">3x DisplayPort 2.1b + 1x HDMI 2.1b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mocy: </w:t>
      </w:r>
      <w:r>
        <w:rPr>
          <w:rFonts w:ascii="calibri" w:hAnsi="calibri" w:eastAsia="calibri" w:cs="calibri"/>
          <w:sz w:val="24"/>
          <w:szCs w:val="24"/>
        </w:rPr>
        <w:t xml:space="preserve">250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zasilania: </w:t>
      </w:r>
      <w:r>
        <w:rPr>
          <w:rFonts w:ascii="calibri" w:hAnsi="calibri" w:eastAsia="calibri" w:cs="calibri"/>
          <w:sz w:val="24"/>
          <w:szCs w:val="24"/>
        </w:rPr>
        <w:t xml:space="preserve">16-pin x1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 zasilacz: </w:t>
      </w:r>
      <w:r>
        <w:rPr>
          <w:rFonts w:ascii="calibri" w:hAnsi="calibri" w:eastAsia="calibri" w:cs="calibri"/>
          <w:sz w:val="24"/>
          <w:szCs w:val="24"/>
        </w:rPr>
        <w:t xml:space="preserve">650 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karty: </w:t>
      </w:r>
      <w:r>
        <w:rPr>
          <w:rFonts w:ascii="calibri" w:hAnsi="calibri" w:eastAsia="calibri" w:cs="calibri"/>
          <w:sz w:val="24"/>
          <w:szCs w:val="24"/>
        </w:rPr>
        <w:t xml:space="preserve">338 x 140 x 50 mm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 karty: </w:t>
      </w:r>
      <w:r>
        <w:rPr>
          <w:rFonts w:ascii="calibri" w:hAnsi="calibri" w:eastAsia="calibri" w:cs="calibri"/>
          <w:sz w:val="24"/>
          <w:szCs w:val="24"/>
        </w:rPr>
        <w:t xml:space="preserve">1187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Modele: </w:t>
      </w:r>
      <w:r>
        <w:rPr>
          <w:rFonts w:ascii="calibri" w:hAnsi="calibri" w:eastAsia="calibri" w:cs="calibri"/>
          <w:sz w:val="24"/>
          <w:szCs w:val="24"/>
        </w:rPr>
        <w:t xml:space="preserve">G507012WMVEC (Void) / G507012WMLEC (Light)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TRI FROZR 4 - gwarantowana cisza i chłód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TRI FROZR 4 zaprojektowano z myślą o maksymalnym odprowadzeniu ciepła przy minimalnym poziomie hałasu. Każdy jego element ma konkretny wpływ na temperaturę i komfort pracy: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STORMFORCE FAN: </w:t>
      </w:r>
      <w:r>
        <w:rPr>
          <w:rFonts w:ascii="calibri" w:hAnsi="calibri" w:eastAsia="calibri" w:cs="calibri"/>
          <w:sz w:val="24"/>
          <w:szCs w:val="24"/>
        </w:rPr>
        <w:t xml:space="preserve">siedem łopat zapewnia optymalny przepływ powietrza przy minimalnym hałasie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Niklowana podstawa miedziana: </w:t>
      </w:r>
      <w:r>
        <w:rPr>
          <w:rFonts w:ascii="calibri" w:hAnsi="calibri" w:eastAsia="calibri" w:cs="calibri"/>
          <w:sz w:val="24"/>
          <w:szCs w:val="24"/>
        </w:rPr>
        <w:t xml:space="preserve">błyskawicznie przejmuje ciepło z GPU i pamięci, zapewniając szybki transport termiczny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 Pipes z kwadratowym przekrojem: </w:t>
      </w:r>
      <w:r>
        <w:rPr>
          <w:rFonts w:ascii="calibri" w:hAnsi="calibri" w:eastAsia="calibri" w:cs="calibri"/>
          <w:sz w:val="24"/>
          <w:szCs w:val="24"/>
        </w:rPr>
        <w:t xml:space="preserve">maksymalizują kontakt z podstawą GPU dla optymalnego zarządzania cieplnego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WAVE CURVED 4.0: </w:t>
      </w:r>
      <w:r>
        <w:rPr>
          <w:rFonts w:ascii="calibri" w:hAnsi="calibri" w:eastAsia="calibri" w:cs="calibri"/>
          <w:sz w:val="24"/>
          <w:szCs w:val="24"/>
        </w:rPr>
        <w:t xml:space="preserve">faliste krawędzie wzmacniają przepływ powietrza przez radiator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AIR ANTEGRADE FIN 2.0: </w:t>
      </w:r>
      <w:r>
        <w:rPr>
          <w:rFonts w:ascii="calibri" w:hAnsi="calibri" w:eastAsia="calibri" w:cs="calibri"/>
          <w:sz w:val="24"/>
          <w:szCs w:val="24"/>
        </w:rPr>
        <w:t xml:space="preserve">nacięcia w kształcie litery V optymalizują efektywność przepływu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ZERO FROZR: </w:t>
      </w:r>
      <w:r>
        <w:rPr>
          <w:rFonts w:ascii="calibri" w:hAnsi="calibri" w:eastAsia="calibri" w:cs="calibri"/>
          <w:sz w:val="24"/>
          <w:szCs w:val="24"/>
        </w:rPr>
        <w:t xml:space="preserve">wentylatory automatycznie zatrzymują się przy niskim obciążeniu, eliminując hałas podczas pracy biurowej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wyposażone są w moduły zasilania DrMOS, które zapewniają wysoką sprawność energetyczną przy niskich stratach mocy i precyzyjnej kontroli napięcia. Dodatkowe bezpieczniki w niestandardowym PCB tworzą warstwy ochrony przed uszkodzeniami elektrycznymi.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Metalowy backplate z podkładkami termicznymi wzmacnia konstrukcję karty i aktywnie uczestniczy w odprowadzaniu ciepła. Załączaną podstawkę (Bundle Stand) można także przymocować do obudowy komputera, by stabilizować kartę pod własnym ciężarem.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w zestawie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 przejściowy 16-pin do 2x 8-pin: </w:t>
      </w:r>
      <w:r>
        <w:rPr>
          <w:rFonts w:ascii="calibri" w:hAnsi="calibri" w:eastAsia="calibri" w:cs="calibri"/>
          <w:sz w:val="24"/>
          <w:szCs w:val="24"/>
        </w:rPr>
        <w:t xml:space="preserve">umożliwia podłączenie do starszych zasilaczy ATX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podstawka podpora (Bundle Stand): </w:t>
      </w:r>
      <w:r>
        <w:rPr>
          <w:rFonts w:ascii="calibri" w:hAnsi="calibri" w:eastAsia="calibri" w:cs="calibri"/>
          <w:sz w:val="24"/>
          <w:szCs w:val="24"/>
        </w:rPr>
        <w:t xml:space="preserve">stabilizuje kartę wewnątrz obudowy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Naklejka World of Warcraft: Midnight: </w:t>
      </w:r>
      <w:r>
        <w:rPr>
          <w:rFonts w:ascii="calibri" w:hAnsi="calibri" w:eastAsia="calibri" w:cs="calibri"/>
          <w:sz w:val="24"/>
          <w:szCs w:val="24"/>
        </w:rPr>
        <w:t xml:space="preserve">kolekcjonerski dodatek dla fanów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pudełko Void / Light Edition: </w:t>
      </w:r>
      <w:r>
        <w:rPr>
          <w:rFonts w:ascii="calibri" w:hAnsi="calibri" w:eastAsia="calibri" w:cs="calibri"/>
          <w:sz w:val="24"/>
          <w:szCs w:val="24"/>
        </w:rPr>
        <w:t xml:space="preserve">zaprojektowane jako element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obsługiwane są przez ekosystem oprogramowania MSI: MSI Center do monitorowania parametrów pracy i zarządzania podświetleniem LEDoraz legendarny MSI Afterburner - jedno z najpopularniejszych narzędzi do overclockingu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karty-grafi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2026-03-06T00:47:45+01:00</dcterms:created>
  <dcterms:modified xsi:type="dcterms:W3CDTF">2026-03-06T00:47:45+01:00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